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jc w:val="center"/>
      </w:pPr>
      <w:r>
        <w:t>Informe de avance · Sprint XP 1</w:t>
      </w:r>
    </w:p>
    <w:p>
      <w:pPr>
        <w:pStyle w:val="AcademicMetadata"/>
      </w:pPr>
      <w:r>
        <w:t>Regulación metacognitiva en simulaciones</w:t>
        <w:br/>
        <w:t>de entrevista psicológica con IA</w:t>
      </w:r>
    </w:p>
    <w:p>
      <w:pPr>
        <w:pStyle w:val="AcademicMetadata"/>
      </w:pPr>
      <w:r>
        <w:t>Leyla Llanos Muñoz · Carlos Daniel Toledo Hein</w:t>
        <w:br/>
        <w:t>Polibio Felipe Solís Celedón</w:t>
      </w:r>
    </w:p>
    <w:p>
      <w:pPr>
        <w:pStyle w:val="AcademicMetadata"/>
      </w:pPr>
      <w:r>
        <w:t>Seminario de Título y Ética Profesional · Unidad 2</w:t>
      </w:r>
    </w:p>
    <w:p>
      <w:pPr>
        <w:pStyle w:val="AcademicMetadata"/>
      </w:pPr>
      <w:r>
        <w:t>UNIACC · Profesora Antonia Rosati · 9 de septiembre de 2026</w:t>
      </w:r>
    </w:p>
    <w:p>
      <w:pPr>
        <w:pStyle w:val="Heading1"/>
      </w:pPr>
      <w:r>
        <w:t>Origen y vinculación con el proyecto</w:t>
      </w:r>
    </w:p>
    <w:p>
      <w:r>
        <w:t>El proyecto nació de nuestra necesidad de practicar entrevistas: la retroalimentación entre compañeros dejaba dudas sin resolver. Desarrollamos simuladores con IA y materiales académicos de Psicología para señalar aciertos y aspectos por revisar, preservando la autonomía para planificar, entrevistar y definir objetivos. La idea comercial posterior no se concretó; las postulaciones a ferias tampoco implicaron participación. Como desarrolladores e investigadores, explicitaremos nuestras expectativas y examinaremos también resultados desfavorables.</w:t>
      </w:r>
    </w:p>
    <w:p>
      <w:pPr>
        <w:pStyle w:val="Heading1"/>
      </w:pPr>
      <w:r>
        <w:t>1. Identificación del vacío</w:t>
      </w:r>
    </w:p>
    <w:p>
      <w:r>
        <w:t>Se contrastan cinco artículos de texto completo accesible, pertinentes para simulación, retroalimentación y regulación del aprendizaje, atendiendo a sus diseños y límites.</w:t>
      </w:r>
    </w:p>
    <w:p>
      <w:r>
        <w:t>Gilbert et al. (2026), en una revisión sistemática de 11 estudios sobre pacientes virtuales con IA, identificaron heterogeneidad de marcos teóricos y medidas, escasa formalización de la retroalimentación e incertidumbre sobre la transferencia clínica. Esto fundamenta examinar cómo se utiliza el apoyo durante el aprendizaje.</w:t>
      </w:r>
    </w:p>
    <w:p>
      <w:r>
        <w:t>García-Torres et al. (2025) estudiaron a 156 estudiantes de Psicología. La valoración favorable de las entrevistas simuladas coexistió con una diferencia no significativa en el examen práctico frente a una cohorte histórica. El diseño no permite atribuir causalidad ni equiparar percepción de mejora con desempeño.</w:t>
      </w:r>
    </w:p>
    <w:p>
      <w:pPr>
        <w:pStyle w:val="Heading1"/>
        <w:pageBreakBefore/>
      </w:pPr>
      <w:r>
        <w:t>Del antecedente al nicho de investigación</w:t>
      </w:r>
    </w:p>
    <w:p>
      <w:r>
        <w:t>Cecil et al. (2026), en un ensayo aleatorizado con 87 participantes de Psicología y formación psicoterapéutica, observaron mejoras en competencia percibida y autoeficacia con pacientes virtuales, sin aumento del conocimiento ni superioridad sobre videos de simulación. Estos resultados requieren distinguir confianza, conocimiento y actuación.</w:t>
      </w:r>
    </w:p>
    <w:p>
      <w:r>
        <w:t>Louie et al. (2026) compararon práctica con y sin retroalimentación en 94 consejeros novatos. La comparación favoreció la empatía del grupo con retroalimentación; también analizaron reflexiones. Su sistema incluía respuestas alternativas. Interesa profundizar en cómo se utilizan las sugerencias cuando el apoyo deja al estudiante la elaboración de respuestas.</w:t>
      </w:r>
    </w:p>
    <w:p>
      <w:r>
        <w:t>Lowry et al. (2026) utilizaron conversaciones reflexivas con IA en posgrado de neuroanatomía: ocho estudiantes completaron la intervención y ocho el control. Mejoraron los autoinformes de conciencia metacognitiva y aprendizaje autodirigido. La muestra pequeña, el contexto y las medidas limitan su extrapolación a entrevistas psicológicas.</w:t>
      </w:r>
    </w:p>
    <w:p>
      <w:r>
        <w:t>La brecha se delimita a comprender la relación entre lo que el estudiante hace, cómo interpreta la retroalimentación y por qué mantiene o modifica sus decisiones. Existe investigación sobre simulación y reflexión; el nicho propuesto profundiza en esa relación en estudiantes de Psicología de distintas universidades chilenas, mediante registros y explicaciones. La diversidad institucional permitirá explorar coincidencias y contrastes entre experiencias, sin pretensión de representatividad estadística. Se examinará cómo justifican aceptar, cuestionar o descartar sugerencias, sin presuponer que la herramienta favorece la autonomía.</w:t>
      </w:r>
    </w:p>
    <w:p>
      <w:r>
        <w:t>En Chile, UNIACC (2026) anunció entrenamiento con IA para practicantes de su CAPSI; la Universidad del Desarrollo (2026) informó un pilotaje de Clinical Mind AI para primeros auxilios psicológicos. Estas experiencias sitúan la pertinencia local. Sus noticias institucionales describen iniciativas, pero no aportan evaluaciones científicas del proceso metacognitivo que proponemos estudiar.</w:t>
      </w:r>
    </w:p>
    <w:p>
      <w:pPr>
        <w:pStyle w:val="Heading1"/>
        <w:pageBreakBefore/>
      </w:pPr>
      <w:r>
        <w:t>2. Delimitación biopsicosocial</w:t>
      </w:r>
    </w:p>
    <w:p>
      <w:r>
        <w:rPr>
          <w:b/>
        </w:rPr>
        <w:t xml:space="preserve">Población. </w:t>
      </w:r>
      <w:r>
        <w:t>Estudiantes adultos de Psicología de distintas universidades chilenas, de formación avanzada y con preparación en entrevista. Selección intencional con diversidad de instituciones, modalidades de estudio y experiencia con IA.</w:t>
      </w:r>
    </w:p>
    <w:p>
      <w:r>
        <w:rPr>
          <w:b/>
        </w:rPr>
        <w:t xml:space="preserve">Fenómeno. </w:t>
      </w:r>
      <w:r>
        <w:t>Regulación metacognitiva: planificar objetivos, monitorear la comprensión y revisar decisiones. Se considerarán confianza al entrevistar, fatiga, accesibilidad, responsabilidades laborales o de cuidado y conectividad como condiciones de la experiencia.</w:t>
      </w:r>
    </w:p>
    <w:p>
      <w:r>
        <w:rPr>
          <w:b/>
        </w:rPr>
        <w:t xml:space="preserve">Contexto. </w:t>
      </w:r>
      <w:r>
        <w:t>Simulaciones en línea con casos ficticios, propuestas para el primer semestre de 2027. Universidades participantes, reclutamiento y autorizaciones se confirmarán antes de la aplicación.</w:t>
      </w:r>
    </w:p>
    <w:p>
      <w:pPr>
        <w:pStyle w:val="Heading1"/>
      </w:pPr>
      <w:r>
        <w:t>3. Pregunta preliminar y estructura SPIDER</w:t>
      </w:r>
    </w:p>
    <w:p>
      <w:r>
        <w:t>Pregunta preliminar organizada mediante SPIDER:</w:t>
      </w:r>
    </w:p>
    <w:p>
      <w:r>
        <w:rPr>
          <w:b/>
        </w:rPr>
        <w:t>¿Cómo se expresa la regulación metacognitiva de estudiantes de Psicología de distintas universidades chilenas al utilizar la retroalimentación de un simulador de entrevistas con IA durante el primer semestre de 2027?</w:t>
      </w:r>
    </w:p>
    <w:p>
      <w:r>
        <w:rPr>
          <w:b/>
        </w:rPr>
        <w:t xml:space="preserve">S · Muestra. </w:t>
      </w:r>
      <w:r>
        <w:t>Estudiantes adultos de Psicología de distintas universidades chilenas, con formación avanzada y preparación en entrevista.</w:t>
      </w:r>
    </w:p>
    <w:p>
      <w:r>
        <w:rPr>
          <w:b/>
        </w:rPr>
        <w:t xml:space="preserve">PI · Fenómeno. </w:t>
      </w:r>
      <w:r>
        <w:t>Regulación metacognitiva al interpretar retroalimentación y fundamentar decisiones.</w:t>
      </w:r>
    </w:p>
    <w:p>
      <w:r>
        <w:rPr>
          <w:b/>
        </w:rPr>
        <w:t xml:space="preserve">D · Diseño. </w:t>
      </w:r>
      <w:r>
        <w:t>Casos múltiples de estudiantes: planificación escrita, registros de simulación y entrevistas retrospectivas.</w:t>
      </w:r>
    </w:p>
    <w:p>
      <w:r>
        <w:rPr>
          <w:b/>
        </w:rPr>
        <w:t xml:space="preserve">E · Evaluación. </w:t>
      </w:r>
      <w:r>
        <w:t>Razones para aceptar, cuestionar o descartar sugerencias, y cambios en las decisiones.</w:t>
      </w:r>
    </w:p>
    <w:p>
      <w:r>
        <w:rPr>
          <w:b/>
        </w:rPr>
        <w:t xml:space="preserve">R · Investigación. </w:t>
      </w:r>
      <w:r>
        <w:t>Cualitativa, exploratoria e interpretativa.</w:t>
      </w:r>
    </w:p>
    <w:p>
      <w:r>
        <w:t>El análisis temático contrastará interacciones y explicaciones; los registros aislados no bastarán para inferir procesos mentales. Se prevén participación voluntaria, consentimiento, seudonimización y revisión docente e institucional.</w:t>
      </w:r>
    </w:p>
    <w:p>
      <w:pPr>
        <w:pStyle w:val="Heading1"/>
        <w:pageBreakBefore/>
      </w:pPr>
      <w:r>
        <w:t>4. Aporte científico y social</w:t>
      </w:r>
    </w:p>
    <w:p>
      <w:r>
        <w:t>El estudio aportaría conocimiento situado sobre la relación entre retroalimentación, justificación de decisiones y regulación del aprendizaje en entrevistas simuladas. Vincular acciones con explicaciones permitiría reconocer condiciones que apoyan la autonomía y situaciones de confusión o aceptación poco fundamentada. Socialmente, los hallazgos podrían orientar oportunidades de práctica pertinentes para distintas modalidades formativas y condiciones de acceso, además de ofrecer criterios para el acompañamiento docente y el diseño de retroalimentación. La utilidad se valorará por el conocimiento producido, incluyendo hallazgos que cuestionen las expectativas del equipo desarrollador.</w:t>
      </w:r>
    </w:p>
    <w:p>
      <w:pPr>
        <w:pStyle w:val="Heading1"/>
      </w:pPr>
      <w:r>
        <w:t>5. Trabajo colaborativo y trazabilidad</w:t>
      </w:r>
    </w:p>
    <w:p>
      <w:r>
        <w:t>La entrega corresponde a la Formativa 1 de la Unidad 2, Sprint XP 1, según la plataforma y la calendarización docente. El equipo organiza tareas y revisión en pares mediante Trello. El registro bibliográfico compartido documenta descriptores, búsquedas y estudios preseleccionados.</w:t>
      </w:r>
    </w:p>
    <w:tbl>
      <w:tblPr>
        <w:jc w:val="left"/>
        <w:tblLook w:firstColumn="1" w:firstRow="1" w:lastColumn="0" w:lastRow="0" w:noHBand="0" w:noVBand="1" w:val="04A0"/>
        <w:tblW w:w="9406" w:type="dxa"/>
        <w:tblInd w:w="120" w:type="dxa"/>
        <w:tblLayout w:type="fixed"/>
        <w:tblCellMar>
          <w:top w:w="70" w:type="dxa"/>
          <w:bottom w:w="70" w:type="dxa"/>
          <w:start w:w="120" w:type="dxa"/>
          <w:end w:w="120" w:type="dxa"/>
        </w:tblCellMar>
        <w:tblBorders>
          <w:top w:val="single" w:sz="4" w:color="C0C0C0"/>
          <w:left w:val="single" w:sz="4" w:color="C0C0C0"/>
          <w:bottom w:val="single" w:sz="4" w:color="C0C0C0"/>
          <w:right w:val="single" w:sz="4" w:color="C0C0C0"/>
          <w:insideH w:val="single" w:sz="4" w:color="C0C0C0"/>
          <w:insideV w:val="single" w:sz="4" w:color="C0C0C0"/>
        </w:tblBorders>
      </w:tblPr>
      <w:tblGrid>
        <w:gridCol w:w="3500"/>
        <w:gridCol w:w="3906"/>
        <w:gridCol w:w="2000"/>
      </w:tblGrid>
      <w:tr>
        <w:trPr>
          <w:cantSplit/>
          <w:tblHeader/>
        </w:trPr>
        <w:tc>
          <w:tcPr>
            <w:tcW w:type="dxa" w:w="3500"/>
            <w:vAlign w:val="center"/>
            <w:shd w:fill="F2F2F2"/>
          </w:tcPr>
          <w:p>
            <w:pPr>
              <w:pStyle w:val="TableHeader"/>
            </w:pPr>
            <w:r>
              <w:t>Tarea y acceso al registro</w:t>
            </w:r>
          </w:p>
        </w:tc>
        <w:tc>
          <w:tcPr>
            <w:tcW w:type="dxa" w:w="3906"/>
            <w:vAlign w:val="center"/>
            <w:shd w:fill="F2F2F2"/>
          </w:tcPr>
          <w:p>
            <w:pPr>
              <w:pStyle w:val="TableHeader"/>
            </w:pPr>
            <w:r>
              <w:t>Responsable / revisor</w:t>
            </w:r>
          </w:p>
        </w:tc>
        <w:tc>
          <w:tcPr>
            <w:tcW w:type="dxa" w:w="2000"/>
            <w:vAlign w:val="center"/>
            <w:shd w:fill="F2F2F2"/>
          </w:tcPr>
          <w:p>
            <w:pPr>
              <w:pStyle w:val="TableHeader"/>
            </w:pPr>
            <w:r>
              <w:t>Estado registrado</w:t>
            </w:r>
          </w:p>
        </w:tc>
      </w:tr>
      <w:tr>
        <w:trPr>
          <w:cantSplit/>
        </w:trPr>
        <w:tc>
          <w:tcPr>
            <w:tcW w:type="dxa" w:w="3500"/>
            <w:vAlign w:val="center"/>
          </w:tcPr>
          <w:p>
            <w:pPr>
              <w:pStyle w:val="TableBody"/>
            </w:pPr>
            <w:hyperlink r:id="rId10">
              <w:r>
                <w:rPr>
                  <w:rFonts w:ascii="Arial" w:hAnsi="Arial"/>
                  <w:sz w:val="24"/>
                  <w:color w:val="0563C1"/>
                  <w:u w:val="single"/>
                </w:rPr>
                <w:t>S1-02 · Búsqueda</w:t>
              </w:r>
            </w:hyperlink>
          </w:p>
        </w:tc>
        <w:tc>
          <w:tcPr>
            <w:tcW w:type="dxa" w:w="3906"/>
            <w:vAlign w:val="center"/>
          </w:tcPr>
          <w:p>
            <w:pPr>
              <w:pStyle w:val="TableBody"/>
            </w:pPr>
            <w:r>
              <w:t>Daniel / Polibio</w:t>
            </w:r>
          </w:p>
        </w:tc>
        <w:tc>
          <w:tcPr>
            <w:tcW w:type="dxa" w:w="2000"/>
            <w:vAlign w:val="center"/>
          </w:tcPr>
          <w:p>
            <w:pPr>
              <w:pStyle w:val="TableBody"/>
            </w:pPr>
            <w:r>
              <w:t>En proceso</w:t>
            </w:r>
          </w:p>
        </w:tc>
      </w:tr>
      <w:tr>
        <w:trPr>
          <w:cantSplit/>
        </w:trPr>
        <w:tc>
          <w:tcPr>
            <w:tcW w:type="dxa" w:w="3500"/>
            <w:vAlign w:val="center"/>
          </w:tcPr>
          <w:p>
            <w:pPr>
              <w:pStyle w:val="TableBody"/>
            </w:pPr>
            <w:hyperlink r:id="rId11">
              <w:r>
                <w:rPr>
                  <w:rFonts w:ascii="Arial" w:hAnsi="Arial"/>
                  <w:sz w:val="24"/>
                  <w:color w:val="0563C1"/>
                  <w:u w:val="single"/>
                </w:rPr>
                <w:t>S1-03 · Matriz</w:t>
              </w:r>
            </w:hyperlink>
          </w:p>
        </w:tc>
        <w:tc>
          <w:tcPr>
            <w:tcW w:type="dxa" w:w="3906"/>
            <w:vAlign w:val="center"/>
          </w:tcPr>
          <w:p>
            <w:pPr>
              <w:pStyle w:val="TableBody"/>
            </w:pPr>
            <w:r>
              <w:t>Leyla / Daniel</w:t>
            </w:r>
          </w:p>
        </w:tc>
        <w:tc>
          <w:tcPr>
            <w:tcW w:type="dxa" w:w="2000"/>
            <w:vAlign w:val="center"/>
          </w:tcPr>
          <w:p>
            <w:pPr>
              <w:pStyle w:val="TableBody"/>
            </w:pPr>
            <w:r>
              <w:t>En proceso</w:t>
            </w:r>
          </w:p>
        </w:tc>
      </w:tr>
      <w:tr>
        <w:trPr>
          <w:cantSplit/>
        </w:trPr>
        <w:tc>
          <w:tcPr>
            <w:tcW w:type="dxa" w:w="3500"/>
            <w:vAlign w:val="center"/>
          </w:tcPr>
          <w:p>
            <w:pPr>
              <w:pStyle w:val="TableBody"/>
            </w:pPr>
            <w:hyperlink r:id="rId12">
              <w:r>
                <w:rPr>
                  <w:rFonts w:ascii="Arial" w:hAnsi="Arial"/>
                  <w:sz w:val="24"/>
                  <w:color w:val="0563C1"/>
                  <w:u w:val="single"/>
                </w:rPr>
                <w:t>S1-04 · Problema</w:t>
              </w:r>
            </w:hyperlink>
          </w:p>
        </w:tc>
        <w:tc>
          <w:tcPr>
            <w:tcW w:type="dxa" w:w="3906"/>
            <w:vAlign w:val="center"/>
          </w:tcPr>
          <w:p>
            <w:pPr>
              <w:pStyle w:val="TableBody"/>
            </w:pPr>
            <w:r>
              <w:t>Polibio / Leyla</w:t>
            </w:r>
          </w:p>
        </w:tc>
        <w:tc>
          <w:tcPr>
            <w:tcW w:type="dxa" w:w="2000"/>
            <w:vAlign w:val="center"/>
          </w:tcPr>
          <w:p>
            <w:pPr>
              <w:pStyle w:val="TableBody"/>
            </w:pPr>
            <w:r>
              <w:t>Pendiente</w:t>
            </w:r>
          </w:p>
        </w:tc>
      </w:tr>
      <w:tr>
        <w:trPr>
          <w:cantSplit/>
        </w:trPr>
        <w:tc>
          <w:tcPr>
            <w:tcW w:type="dxa" w:w="3500"/>
            <w:vAlign w:val="center"/>
          </w:tcPr>
          <w:p>
            <w:pPr>
              <w:pStyle w:val="TableBody"/>
            </w:pPr>
            <w:hyperlink r:id="rId13">
              <w:r>
                <w:rPr>
                  <w:rFonts w:ascii="Arial" w:hAnsi="Arial"/>
                  <w:sz w:val="24"/>
                  <w:color w:val="0563C1"/>
                  <w:u w:val="single"/>
                </w:rPr>
                <w:t>S1-05 · Pregunta y aporte</w:t>
              </w:r>
            </w:hyperlink>
          </w:p>
        </w:tc>
        <w:tc>
          <w:tcPr>
            <w:tcW w:type="dxa" w:w="3906"/>
            <w:vAlign w:val="center"/>
          </w:tcPr>
          <w:p>
            <w:pPr>
              <w:pStyle w:val="TableBody"/>
            </w:pPr>
            <w:r>
              <w:t>Leyla / Polibio</w:t>
            </w:r>
          </w:p>
        </w:tc>
        <w:tc>
          <w:tcPr>
            <w:tcW w:type="dxa" w:w="2000"/>
            <w:vAlign w:val="center"/>
          </w:tcPr>
          <w:p>
            <w:pPr>
              <w:pStyle w:val="TableBody"/>
            </w:pPr>
            <w:r>
              <w:t>Pendiente</w:t>
            </w:r>
          </w:p>
        </w:tc>
      </w:tr>
      <w:tr>
        <w:trPr>
          <w:cantSplit/>
        </w:trPr>
        <w:tc>
          <w:tcPr>
            <w:tcW w:type="dxa" w:w="3500"/>
            <w:vAlign w:val="center"/>
          </w:tcPr>
          <w:p>
            <w:pPr>
              <w:pStyle w:val="TableBody"/>
            </w:pPr>
            <w:hyperlink r:id="rId14">
              <w:r>
                <w:rPr>
                  <w:rFonts w:ascii="Arial" w:hAnsi="Arial"/>
                  <w:sz w:val="24"/>
                  <w:color w:val="0563C1"/>
                  <w:u w:val="single"/>
                </w:rPr>
                <w:t>S1-06 · Consolidación</w:t>
              </w:r>
            </w:hyperlink>
          </w:p>
        </w:tc>
        <w:tc>
          <w:tcPr>
            <w:tcW w:type="dxa" w:w="3906"/>
            <w:vAlign w:val="center"/>
          </w:tcPr>
          <w:p>
            <w:pPr>
              <w:pStyle w:val="TableBody"/>
            </w:pPr>
            <w:r>
              <w:t>Polibio / Daniel;</w:t>
              <w:br/>
              <w:t>Leyla: edición</w:t>
            </w:r>
          </w:p>
        </w:tc>
        <w:tc>
          <w:tcPr>
            <w:tcW w:type="dxa" w:w="2000"/>
            <w:vAlign w:val="center"/>
          </w:tcPr>
          <w:p>
            <w:pPr>
              <w:pStyle w:val="TableBody"/>
            </w:pPr>
            <w:r>
              <w:t>Pendiente</w:t>
            </w:r>
          </w:p>
        </w:tc>
      </w:tr>
    </w:tbl>
    <w:p>
      <w:r>
        <w:t>Nota. Estados consultados el 9 de septiembre de 2026. Las tarjetas evidencian asignación y seguimiento; la revisión cruzada y el envío no constan como concluidos. Para el cierre se registrarán revisor, fecha, ajustes y enlace a la versión acordada en el repositorio docente. Cierre oficial: 13 de septiembre, 23:55.</w:t>
      </w:r>
    </w:p>
    <w:p>
      <w:pPr>
        <w:pStyle w:val="Heading1"/>
        <w:pageBreakBefore/>
      </w:pPr>
      <w:r>
        <w:t>Referencias</w:t>
      </w:r>
    </w:p>
    <w:p>
      <w:pPr>
        <w:pStyle w:val="AcademicReference"/>
        <w:keepLines/>
      </w:pPr>
      <w:r>
        <w:t xml:space="preserve">Cecil, J., Kokje, E., Kleine, A.-K., Schaffernak, I., Vogel, L., Angerer, S., Lermer, E., &amp; Gaube, S. (2026). The effect of AI-enabled virtual patient simulation on training outcomes and insecurities in psychotherapy education. </w:t>
      </w:r>
      <w:r>
        <w:rPr>
          <w:i/>
        </w:rPr>
        <w:t>BMC Medical Education, 26</w:t>
      </w:r>
      <w:r>
        <w:t xml:space="preserve">, Artículo 1156. </w:t>
      </w:r>
      <w:hyperlink r:id="rId15">
        <w:r>
          <w:rPr>
            <w:rFonts w:ascii="Arial" w:hAnsi="Arial"/>
            <w:sz w:val="24"/>
            <w:color w:val="0563C1"/>
            <w:u w:val="single"/>
          </w:rPr>
          <w:t>https://doi.org/10.1186/s12909-026-09917-x</w:t>
        </w:r>
      </w:hyperlink>
    </w:p>
    <w:p>
      <w:pPr>
        <w:pStyle w:val="AcademicReference"/>
        <w:keepLines/>
      </w:pPr>
      <w:r>
        <w:t xml:space="preserve">García-Torres, D., Fernández, C., Mira, J. J., Morales, A., &amp; Vicente, M. A. (2025). Using AI-based virtual simulated patients for training in psychopathological interviewing: Cross-sectional observational study. </w:t>
      </w:r>
      <w:r>
        <w:rPr>
          <w:i/>
        </w:rPr>
        <w:t>JMIR Medical Education, 11</w:t>
      </w:r>
      <w:r>
        <w:t xml:space="preserve">, Artículo e78857. </w:t>
      </w:r>
      <w:hyperlink r:id="rId16">
        <w:r>
          <w:rPr>
            <w:rFonts w:ascii="Arial" w:hAnsi="Arial"/>
            <w:sz w:val="24"/>
            <w:color w:val="0563C1"/>
            <w:u w:val="single"/>
          </w:rPr>
          <w:t>https://doi.org/10.2196/78857</w:t>
        </w:r>
      </w:hyperlink>
    </w:p>
    <w:p>
      <w:pPr>
        <w:pStyle w:val="AcademicReference"/>
        <w:keepLines/>
      </w:pPr>
      <w:r>
        <w:t xml:space="preserve">Gilbert, V., Philip, P., Llorca, P.-M., &amp; Samalin, L. (2026). Use of artificial intelligence–enhanced virtual patients in educational approaches to medical interview training: A systematic review. </w:t>
      </w:r>
      <w:r>
        <w:rPr>
          <w:i/>
        </w:rPr>
        <w:t>BMC Medical Education, 26</w:t>
      </w:r>
      <w:r>
        <w:t xml:space="preserve">, Artículo 588. </w:t>
      </w:r>
      <w:hyperlink r:id="rId17">
        <w:r>
          <w:rPr>
            <w:rFonts w:ascii="Arial" w:hAnsi="Arial"/>
            <w:sz w:val="24"/>
            <w:color w:val="0563C1"/>
            <w:u w:val="single"/>
          </w:rPr>
          <w:t>https://doi.org/10.1186/s12909-026-08804-9</w:t>
        </w:r>
      </w:hyperlink>
    </w:p>
    <w:p>
      <w:pPr>
        <w:pStyle w:val="AcademicReference"/>
        <w:keepLines/>
      </w:pPr>
      <w:r>
        <w:t xml:space="preserve">Louie, R., Shah, R. S., Orney, I. H., Pacheco, J. P., Brunskill, E., &amp; Yang, D. (2026). Can LLM-simulated practice and feedback upskill human counselors? A randomized study with 90+ novice counselors. En </w:t>
      </w:r>
      <w:r>
        <w:rPr>
          <w:i/>
        </w:rPr>
        <w:t>Proceedings of the 2026 CHI Conference on Human Factors in Computing Systems</w:t>
      </w:r>
      <w:r>
        <w:t xml:space="preserve"> (pp. 1–31). Association for Computing Machinery. </w:t>
      </w:r>
      <w:hyperlink r:id="rId18">
        <w:r>
          <w:rPr>
            <w:rFonts w:ascii="Arial" w:hAnsi="Arial"/>
            <w:sz w:val="24"/>
            <w:color w:val="0563C1"/>
            <w:u w:val="single"/>
          </w:rPr>
          <w:t>https://doi.org/10.1145/3772318.3791821</w:t>
        </w:r>
      </w:hyperlink>
      <w:r>
        <w:t xml:space="preserve"> </w:t>
      </w:r>
      <w:hyperlink r:id="rId19">
        <w:r>
          <w:rPr>
            <w:rFonts w:ascii="Arial" w:hAnsi="Arial"/>
            <w:sz w:val="24"/>
            <w:color w:val="0563C1"/>
            <w:u w:val="single"/>
          </w:rPr>
          <w:t>Texto completo</w:t>
        </w:r>
      </w:hyperlink>
    </w:p>
    <w:p>
      <w:pPr>
        <w:pStyle w:val="AcademicReference"/>
        <w:keepLines/>
      </w:pPr>
      <w:r>
        <w:t xml:space="preserve">Lowry, B., McGrath, S., Eitel, C., Hall, H., &amp; Clapp, T. R. (2026). Leveraging generative AI to foster metacognition and self-directed learning. </w:t>
      </w:r>
      <w:r>
        <w:rPr>
          <w:i/>
        </w:rPr>
        <w:t>Journal of Microbiology &amp; Biology Education, 27</w:t>
      </w:r>
      <w:r>
        <w:t xml:space="preserve">(1), Artículo e00153-25. </w:t>
      </w:r>
      <w:hyperlink r:id="rId20">
        <w:r>
          <w:rPr>
            <w:rFonts w:ascii="Arial" w:hAnsi="Arial"/>
            <w:sz w:val="24"/>
            <w:color w:val="0563C1"/>
            <w:u w:val="single"/>
          </w:rPr>
          <w:t>https://doi.org/10.1128/jmbe.00153-25</w:t>
        </w:r>
      </w:hyperlink>
    </w:p>
    <w:p>
      <w:pPr>
        <w:pStyle w:val="AcademicReference"/>
        <w:keepLines/>
      </w:pPr>
      <w:r>
        <w:t xml:space="preserve">UNIACC. (2026, 12 de agosto). </w:t>
      </w:r>
      <w:r>
        <w:rPr>
          <w:i/>
        </w:rPr>
        <w:t>CAPSI recibe a su mayor generación de practicantes de cara al segundo semestre 2026</w:t>
      </w:r>
      <w:r>
        <w:t xml:space="preserve">. </w:t>
      </w:r>
      <w:hyperlink r:id="rId21">
        <w:r>
          <w:rPr>
            <w:rFonts w:ascii="Arial" w:hAnsi="Arial"/>
            <w:sz w:val="24"/>
            <w:color w:val="0563C1"/>
            <w:u w:val="single"/>
          </w:rPr>
          <w:t>https://www.uniacc.cl/noticias/capsi-mayor-generacion-de-practicantes-2026/</w:t>
        </w:r>
      </w:hyperlink>
    </w:p>
    <w:p>
      <w:pPr>
        <w:pStyle w:val="AcademicReference"/>
        <w:keepLines/>
      </w:pPr>
      <w:r>
        <w:t xml:space="preserve">Universidad del Desarrollo. (2026, 22 de enero). </w:t>
      </w:r>
      <w:r>
        <w:rPr>
          <w:i/>
        </w:rPr>
        <w:t>Psicología UDD lidera innovación en simulación clínica con inteligencia artificial junto a la Universidad de Stanford</w:t>
      </w:r>
      <w:r>
        <w:t xml:space="preserve">. </w:t>
      </w:r>
      <w:hyperlink r:id="rId22">
        <w:r>
          <w:rPr>
            <w:rFonts w:ascii="Arial" w:hAnsi="Arial"/>
            <w:sz w:val="24"/>
            <w:color w:val="0563C1"/>
            <w:u w:val="single"/>
          </w:rPr>
          <w:t>https://psicologia.udd.cl/noticias/2026/01/psicologia-udd-lidera-innovacion-en-simulacion-clinica-con-inteligencia-artificial-junto-a-la-universidad-de-stanford/</w:t>
        </w:r>
      </w:hyperlink>
    </w:p>
    <w:sectPr w:rsidR="00FC693F" w:rsidRPr="0006063C" w:rsidSect="00034616">
      <w:headerReference w:type="default" r:id="rId9"/>
      <w:pgSz w:w="12240" w:h="15840"/>
      <w:pgMar w:top="1417" w:right="1417" w:bottom="1417" w:left="1417"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before="0" w:after="0"/>
      <w:jc w:val="both"/>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20" w:after="80" w:line="360" w:lineRule="auto"/>
      <w:jc w:val="left"/>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120" w:after="80" w:line="360" w:lineRule="auto"/>
      <w:jc w:val="left"/>
      <w:outlineLvl w:val="1"/>
    </w:pPr>
    <w:rPr>
      <w:rFonts w:asciiTheme="majorHAnsi" w:eastAsiaTheme="majorEastAsia" w:hAnsiTheme="majorHAnsi" w:cstheme="majorBidi" w:ascii="Arial" w:hAnsi="Arial"/>
      <w:b/>
      <w:bCs/>
      <w:color w:val="000000"/>
      <w:sz w:val="32"/>
      <w:szCs w:val="26"/>
    </w:rPr>
  </w:style>
  <w:style w:type="paragraph" w:styleId="Heading3">
    <w:name w:val="heading 3"/>
    <w:basedOn w:val="Normal"/>
    <w:next w:val="Normal"/>
    <w:link w:val="Heading3Char"/>
    <w:uiPriority w:val="9"/>
    <w:unhideWhenUsed/>
    <w:qFormat/>
    <w:rsid w:val="00FC693F"/>
    <w:pPr>
      <w:keepNext/>
      <w:keepLines/>
      <w:widowControl/>
      <w:spacing w:before="120" w:after="80" w:line="360" w:lineRule="auto"/>
      <w:jc w:val="left"/>
      <w:outlineLvl w:val="2"/>
    </w:pPr>
    <w:rPr>
      <w:rFonts w:asciiTheme="majorHAnsi" w:eastAsiaTheme="majorEastAsia" w:hAnsiTheme="majorHAnsi" w:cstheme="majorBidi" w:ascii="Arial" w:hAnsi="Arial"/>
      <w:b/>
      <w:bCs/>
      <w:color w:val="000000"/>
      <w:sz w:val="3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80" w:line="360" w:lineRule="auto" w:before="120"/>
      <w:contextualSpacing/>
      <w:jc w:val="left"/>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360" w:lineRule="auto" w:before="0" w:after="0"/>
      <w:jc w:val="both"/>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360" w:lineRule="auto" w:before="0" w:after="0"/>
      <w:jc w:val="both"/>
    </w:pPr>
    <w:rPr>
      <w:rFonts w:ascii="Arial" w:hAnsi="Arial"/>
      <w:b/>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ademicMetadata">
    <w:name w:val="Academic Metadata"/>
    <w:basedOn w:val="Normal"/>
    <w:pPr>
      <w:widowControl/>
      <w:spacing w:line="360" w:lineRule="auto" w:before="0" w:after="0"/>
      <w:jc w:val="center"/>
    </w:pPr>
    <w:rPr>
      <w:rFonts w:ascii="Arial" w:hAnsi="Arial"/>
      <w:sz w:val="24"/>
    </w:rPr>
  </w:style>
  <w:style w:type="paragraph" w:customStyle="1" w:styleId="AcademicReference">
    <w:name w:val="Academic Reference"/>
    <w:basedOn w:val="Normal"/>
    <w:pPr>
      <w:widowControl/>
      <w:spacing w:line="360" w:lineRule="auto" w:before="0" w:after="120"/>
      <w:ind w:left="720" w:hanging="720"/>
      <w:jc w:val="left"/>
    </w:pPr>
    <w:rPr>
      <w:rFonts w:ascii="Arial" w:hAnsi="Arial"/>
      <w:sz w:val="24"/>
    </w:rPr>
  </w:style>
  <w:style w:type="paragraph" w:customStyle="1" w:styleId="TableBody">
    <w:name w:val="Table Body"/>
    <w:basedOn w:val="Normal"/>
    <w:pPr>
      <w:widowControl/>
      <w:spacing w:line="360" w:lineRule="auto" w:before="0" w:after="0"/>
      <w:jc w:val="left"/>
    </w:pPr>
    <w:rPr>
      <w:rFonts w:ascii="Arial" w:hAnsi="Arial"/>
      <w:sz w:val="24"/>
    </w:rPr>
  </w:style>
  <w:style w:type="paragraph" w:customStyle="1" w:styleId="TableHeader">
    <w:name w:val="Table Header"/>
    <w:basedOn w:val="Normal"/>
    <w:pPr>
      <w:widowControl/>
      <w:spacing w:line="360" w:lineRule="auto" w:before="0" w:after="0"/>
      <w:jc w:val="left"/>
    </w:pPr>
    <w:rPr>
      <w:rFonts w:ascii="Arial" w:hAnsi="Arial"/>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trello.com/c/6cEfDqPP" TargetMode="External"/><Relationship Id="rId11" Type="http://schemas.openxmlformats.org/officeDocument/2006/relationships/hyperlink" Target="https://trello.com/c/buTk30Jj" TargetMode="External"/><Relationship Id="rId12" Type="http://schemas.openxmlformats.org/officeDocument/2006/relationships/hyperlink" Target="https://trello.com/c/HMvldJBd" TargetMode="External"/><Relationship Id="rId13" Type="http://schemas.openxmlformats.org/officeDocument/2006/relationships/hyperlink" Target="https://trello.com/c/C7uhhveh" TargetMode="External"/><Relationship Id="rId14" Type="http://schemas.openxmlformats.org/officeDocument/2006/relationships/hyperlink" Target="https://trello.com/c/2rCO9SF7" TargetMode="External"/><Relationship Id="rId15" Type="http://schemas.openxmlformats.org/officeDocument/2006/relationships/hyperlink" Target="https://doi.org/10.1186/s12909-026-09917-x" TargetMode="External"/><Relationship Id="rId16" Type="http://schemas.openxmlformats.org/officeDocument/2006/relationships/hyperlink" Target="https://doi.org/10.2196/78857" TargetMode="External"/><Relationship Id="rId17" Type="http://schemas.openxmlformats.org/officeDocument/2006/relationships/hyperlink" Target="https://doi.org/10.1186/s12909-026-08804-9" TargetMode="External"/><Relationship Id="rId18" Type="http://schemas.openxmlformats.org/officeDocument/2006/relationships/hyperlink" Target="https://doi.org/10.1145/3772318.3791821" TargetMode="External"/><Relationship Id="rId19" Type="http://schemas.openxmlformats.org/officeDocument/2006/relationships/hyperlink" Target="https://youralien.github.io/files/louie2026CanLlmUpskillCounselors.pdf" TargetMode="External"/><Relationship Id="rId20" Type="http://schemas.openxmlformats.org/officeDocument/2006/relationships/hyperlink" Target="https://doi.org/10.1128/jmbe.00153-25" TargetMode="External"/><Relationship Id="rId21" Type="http://schemas.openxmlformats.org/officeDocument/2006/relationships/hyperlink" Target="https://www.uniacc.cl/noticias/capsi-mayor-generacion-de-practicantes-2026/" TargetMode="External"/><Relationship Id="rId22" Type="http://schemas.openxmlformats.org/officeDocument/2006/relationships/hyperlink" Target="https://psicologia.udd.cl/noticias/2026/01/psicologia-udd-lidera-innovacion-en-simulacion-clinica-con-inteligencia-artificial-junto-a-la-universidad-de-stanf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avance · Sprint XP 1: Regulación metacognitiva en simulaciones de entrevista psicológica con IA</dc:title>
  <dc:subject>Seminario de Título y Ética Profesional · PSIC0901 · Formativa 1 · Unidad 2</dc:subject>
  <dc:creator>Leyla Llanos Muñoz; Carlos Daniel Toledo Hein; Polibio Felipe Solís Celedón</dc:creator>
  <cp:keywords>regulación metacognitiva; simulación; retroalimentación; SPIDER; Psicología</cp:keywords>
  <dc:description>generated by python-docx</dc:description>
  <cp:lastModifiedBy/>
  <cp:revision>1</cp:revision>
  <dcterms:created xsi:type="dcterms:W3CDTF">2013-12-23T23:15:00Z</dcterms:created>
  <dcterms:modified xsi:type="dcterms:W3CDTF">2013-12-23T23:15:00Z</dcterms:modified>
  <cp:category/>
</cp:coreProperties>
</file>